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7A" w:rsidRPr="007E7BB7" w:rsidRDefault="004B067A" w:rsidP="004B067A">
      <w:pPr>
        <w:keepNext/>
        <w:keepLines/>
        <w:numPr>
          <w:ilvl w:val="0"/>
          <w:numId w:val="1"/>
        </w:numPr>
        <w:spacing w:line="360" w:lineRule="auto"/>
        <w:ind w:left="616" w:hanging="616"/>
        <w:jc w:val="left"/>
        <w:outlineLvl w:val="1"/>
        <w:rPr>
          <w:rFonts w:ascii="宋体" w:hAnsi="宋体"/>
          <w:b/>
          <w:sz w:val="32"/>
          <w:szCs w:val="32"/>
          <w:lang w:val="zh-CN"/>
        </w:rPr>
      </w:pPr>
      <w:bookmarkStart w:id="0" w:name="_Toc338065593"/>
      <w:bookmarkStart w:id="1" w:name="_Toc339378679"/>
      <w:r w:rsidRPr="007E7BB7">
        <w:rPr>
          <w:rFonts w:ascii="宋体" w:hAnsi="宋体"/>
          <w:b/>
          <w:sz w:val="32"/>
          <w:szCs w:val="32"/>
          <w:lang w:val="zh-CN"/>
        </w:rPr>
        <w:t>技术要求：</w:t>
      </w:r>
      <w:bookmarkStart w:id="2" w:name="_GoBack"/>
      <w:bookmarkEnd w:id="2"/>
    </w:p>
    <w:p w:rsidR="004B067A" w:rsidRPr="007E7BB7" w:rsidRDefault="004B067A" w:rsidP="004B067A">
      <w:pPr>
        <w:keepNext/>
        <w:keepLines/>
        <w:spacing w:line="360" w:lineRule="auto"/>
        <w:jc w:val="left"/>
        <w:outlineLvl w:val="1"/>
        <w:rPr>
          <w:rFonts w:ascii="宋体" w:hAnsi="宋体"/>
          <w:b/>
          <w:sz w:val="28"/>
          <w:szCs w:val="28"/>
          <w:lang w:val="zh-CN"/>
        </w:rPr>
      </w:pPr>
      <w:bookmarkStart w:id="3" w:name="_Toc511894508"/>
      <w:bookmarkStart w:id="4" w:name="_Toc68535319"/>
      <w:bookmarkStart w:id="5" w:name="_Toc494561952"/>
      <w:bookmarkStart w:id="6" w:name="_Toc511889430"/>
      <w:bookmarkEnd w:id="0"/>
      <w:bookmarkEnd w:id="1"/>
      <w:r w:rsidRPr="007E7BB7">
        <w:rPr>
          <w:rFonts w:ascii="宋体" w:hAnsi="宋体" w:hint="eastAsia"/>
          <w:b/>
          <w:sz w:val="28"/>
          <w:szCs w:val="28"/>
          <w:lang w:val="zh-CN"/>
        </w:rPr>
        <w:t>1、采购清单</w:t>
      </w:r>
      <w:bookmarkEnd w:id="3"/>
      <w:bookmarkEnd w:id="4"/>
      <w:bookmarkEnd w:id="5"/>
      <w:bookmarkEnd w:id="6"/>
    </w:p>
    <w:tbl>
      <w:tblPr>
        <w:tblW w:w="8081" w:type="dxa"/>
        <w:jc w:val="center"/>
        <w:tblLayout w:type="fixed"/>
        <w:tblLook w:val="04A0" w:firstRow="1" w:lastRow="0" w:firstColumn="1" w:lastColumn="0" w:noHBand="0" w:noVBand="1"/>
      </w:tblPr>
      <w:tblGrid>
        <w:gridCol w:w="1003"/>
        <w:gridCol w:w="1975"/>
        <w:gridCol w:w="3675"/>
        <w:gridCol w:w="708"/>
        <w:gridCol w:w="720"/>
      </w:tblGrid>
      <w:tr w:rsidR="004B067A" w:rsidTr="00814A0C">
        <w:trPr>
          <w:trHeight w:val="403"/>
          <w:jc w:val="center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67A" w:rsidRDefault="004B067A" w:rsidP="00814A0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067A" w:rsidRDefault="004B067A" w:rsidP="00814A0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67A" w:rsidRDefault="004B067A" w:rsidP="00814A0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67A" w:rsidRDefault="004B067A" w:rsidP="00814A0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67A" w:rsidRDefault="004B067A" w:rsidP="00814A0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 w:rsidR="004B067A" w:rsidTr="00814A0C">
        <w:trPr>
          <w:trHeight w:val="1380"/>
          <w:jc w:val="center"/>
        </w:trPr>
        <w:tc>
          <w:tcPr>
            <w:tcW w:w="100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67A" w:rsidRDefault="004B067A" w:rsidP="00814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75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4B067A" w:rsidRDefault="004B067A" w:rsidP="00814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容灾备份一体机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67A" w:rsidRDefault="004B067A" w:rsidP="00814A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硬件要求：2U机架式，CPU不低于2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核心（主频≥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2.2GHz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），内存不低于2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G，不少于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T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企业级机械硬盘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，不少于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T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SSD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B067A" w:rsidRDefault="004B067A" w:rsidP="00814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B067A" w:rsidRDefault="004B067A" w:rsidP="00814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</w:tr>
      <w:tr w:rsidR="004B067A" w:rsidTr="00814A0C">
        <w:trPr>
          <w:trHeight w:val="300"/>
          <w:jc w:val="center"/>
        </w:trPr>
        <w:tc>
          <w:tcPr>
            <w:tcW w:w="10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67A" w:rsidRDefault="004B067A" w:rsidP="00814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067A" w:rsidRDefault="004B067A" w:rsidP="00814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67A" w:rsidRDefault="004B067A" w:rsidP="00814A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容灾备份软件：备份容量许可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40T；配置数据库应用或虚拟机实时同步容灾模块，并包含所需的计算及存储资源授权，应用系统容灾授权数量8个</w:t>
            </w: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67A" w:rsidRDefault="004B067A" w:rsidP="00814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67A" w:rsidRDefault="004B067A" w:rsidP="00814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4B067A" w:rsidRPr="007E7BB7" w:rsidRDefault="004B067A" w:rsidP="004B067A">
      <w:pPr>
        <w:keepNext/>
        <w:keepLines/>
        <w:spacing w:line="360" w:lineRule="auto"/>
        <w:jc w:val="left"/>
        <w:outlineLvl w:val="1"/>
        <w:rPr>
          <w:rFonts w:ascii="宋体" w:hAnsi="宋体" w:cs="宋体"/>
          <w:sz w:val="28"/>
          <w:szCs w:val="28"/>
        </w:rPr>
      </w:pPr>
      <w:r w:rsidRPr="007E7BB7">
        <w:rPr>
          <w:rFonts w:ascii="宋体" w:hAnsi="宋体" w:hint="eastAsia"/>
          <w:b/>
          <w:sz w:val="28"/>
          <w:szCs w:val="28"/>
        </w:rPr>
        <w:t>2、技术参数</w:t>
      </w:r>
    </w:p>
    <w:p w:rsidR="004B067A" w:rsidRPr="007E7BB7" w:rsidRDefault="004B067A" w:rsidP="004B067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7E7BB7">
        <w:rPr>
          <w:rFonts w:ascii="宋体" w:hAnsi="宋体" w:cs="宋体" w:hint="eastAsia"/>
          <w:kern w:val="0"/>
          <w:sz w:val="24"/>
          <w:szCs w:val="24"/>
        </w:rPr>
        <w:t>硬件：</w:t>
      </w:r>
      <w:r w:rsidRPr="007E7BB7">
        <w:rPr>
          <w:rFonts w:ascii="宋体" w:hAnsi="宋体"/>
          <w:sz w:val="24"/>
          <w:szCs w:val="24"/>
        </w:rPr>
        <w:t>2U机架式，CPU不低于24核心（主频≥2.2GHz），内存不低于256G，不少于8*6T企业级机械硬盘，不少于4*2T SSD，4*1GE网络电口，2*10GE网络光口（带光模块），2G阵列卡支持RAID 1/5/6/10模式，提供冗余电源</w:t>
      </w:r>
      <w:r w:rsidRPr="007E7BB7">
        <w:rPr>
          <w:rFonts w:ascii="宋体" w:hAnsi="宋体" w:hint="eastAsia"/>
          <w:sz w:val="24"/>
          <w:szCs w:val="24"/>
        </w:rPr>
        <w:t>；</w:t>
      </w:r>
    </w:p>
    <w:p w:rsidR="004B067A" w:rsidRPr="007E7BB7" w:rsidRDefault="004B067A" w:rsidP="004B067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7E7BB7">
        <w:rPr>
          <w:rFonts w:ascii="宋体" w:hAnsi="宋体" w:hint="eastAsia"/>
          <w:sz w:val="24"/>
          <w:szCs w:val="24"/>
        </w:rPr>
        <w:t>软件：提供备份容量许可≥40T，配置包含Oracle/</w:t>
      </w:r>
      <w:proofErr w:type="spellStart"/>
      <w:r w:rsidRPr="007E7BB7">
        <w:rPr>
          <w:rFonts w:ascii="宋体" w:hAnsi="宋体" w:hint="eastAsia"/>
          <w:sz w:val="24"/>
          <w:szCs w:val="24"/>
        </w:rPr>
        <w:t>SQLServer</w:t>
      </w:r>
      <w:proofErr w:type="spellEnd"/>
      <w:r w:rsidRPr="007E7BB7">
        <w:rPr>
          <w:rFonts w:ascii="宋体" w:hAnsi="宋体" w:hint="eastAsia"/>
          <w:sz w:val="24"/>
          <w:szCs w:val="24"/>
        </w:rPr>
        <w:t>/</w:t>
      </w:r>
      <w:proofErr w:type="spellStart"/>
      <w:r w:rsidRPr="007E7BB7">
        <w:rPr>
          <w:rFonts w:ascii="宋体" w:hAnsi="宋体" w:hint="eastAsia"/>
          <w:sz w:val="24"/>
          <w:szCs w:val="24"/>
        </w:rPr>
        <w:t>Mysql</w:t>
      </w:r>
      <w:proofErr w:type="spellEnd"/>
      <w:r w:rsidRPr="007E7BB7">
        <w:rPr>
          <w:rFonts w:ascii="宋体" w:hAnsi="宋体" w:hint="eastAsia"/>
          <w:sz w:val="24"/>
          <w:szCs w:val="24"/>
        </w:rPr>
        <w:t>/Cache/</w:t>
      </w:r>
      <w:proofErr w:type="spellStart"/>
      <w:r w:rsidRPr="007E7BB7">
        <w:rPr>
          <w:rFonts w:ascii="宋体" w:hAnsi="宋体" w:hint="eastAsia"/>
          <w:sz w:val="24"/>
          <w:szCs w:val="24"/>
        </w:rPr>
        <w:t>PostgreSQL</w:t>
      </w:r>
      <w:proofErr w:type="spellEnd"/>
      <w:r w:rsidRPr="007E7BB7">
        <w:rPr>
          <w:rFonts w:ascii="宋体" w:hAnsi="宋体" w:hint="eastAsia"/>
          <w:sz w:val="24"/>
          <w:szCs w:val="24"/>
        </w:rPr>
        <w:t>/达梦/神舟通用/</w:t>
      </w:r>
      <w:proofErr w:type="gramStart"/>
      <w:r w:rsidRPr="007E7BB7">
        <w:rPr>
          <w:rFonts w:ascii="宋体" w:hAnsi="宋体" w:hint="eastAsia"/>
          <w:sz w:val="24"/>
          <w:szCs w:val="24"/>
        </w:rPr>
        <w:t>人大金</w:t>
      </w:r>
      <w:proofErr w:type="gramEnd"/>
      <w:r w:rsidRPr="007E7BB7">
        <w:rPr>
          <w:rFonts w:ascii="宋体" w:hAnsi="宋体" w:hint="eastAsia"/>
          <w:sz w:val="24"/>
          <w:szCs w:val="24"/>
        </w:rPr>
        <w:t>仓等数据库备份和恢复模块；VMware EXSI/ Hyper-v/KVM/华三CAS/深信服</w:t>
      </w:r>
      <w:proofErr w:type="spellStart"/>
      <w:r w:rsidRPr="007E7BB7">
        <w:rPr>
          <w:rFonts w:ascii="宋体" w:hAnsi="宋体" w:hint="eastAsia"/>
          <w:sz w:val="24"/>
          <w:szCs w:val="24"/>
        </w:rPr>
        <w:t>acloud</w:t>
      </w:r>
      <w:proofErr w:type="spellEnd"/>
      <w:r w:rsidRPr="007E7BB7">
        <w:rPr>
          <w:rFonts w:ascii="宋体" w:hAnsi="宋体" w:hint="eastAsia"/>
          <w:sz w:val="24"/>
          <w:szCs w:val="24"/>
        </w:rPr>
        <w:t>等虚拟化备份和恢复模块、windows/</w:t>
      </w:r>
      <w:proofErr w:type="spellStart"/>
      <w:r w:rsidRPr="007E7BB7">
        <w:rPr>
          <w:rFonts w:ascii="宋体" w:hAnsi="宋体" w:hint="eastAsia"/>
          <w:sz w:val="24"/>
          <w:szCs w:val="24"/>
        </w:rPr>
        <w:t>linux</w:t>
      </w:r>
      <w:proofErr w:type="spellEnd"/>
      <w:r w:rsidRPr="007E7BB7">
        <w:rPr>
          <w:rFonts w:ascii="宋体" w:hAnsi="宋体" w:hint="eastAsia"/>
          <w:sz w:val="24"/>
          <w:szCs w:val="24"/>
        </w:rPr>
        <w:t>文件系统备份恢复模块；</w:t>
      </w:r>
    </w:p>
    <w:p w:rsidR="004B067A" w:rsidRPr="007E7BB7" w:rsidRDefault="004B067A" w:rsidP="004B067A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7E7BB7">
        <w:rPr>
          <w:rFonts w:ascii="宋体" w:hAnsi="宋体" w:hint="eastAsia"/>
          <w:sz w:val="24"/>
          <w:szCs w:val="24"/>
        </w:rPr>
        <w:t>提供数据库应用或虚拟机容灾模块，在硬件资源条件支持情况下，应用系统容灾授权数量</w:t>
      </w:r>
      <w:r w:rsidRPr="007E7BB7">
        <w:rPr>
          <w:rFonts w:ascii="宋体" w:hAnsi="宋体" w:cs="宋体" w:hint="eastAsia"/>
          <w:kern w:val="0"/>
          <w:sz w:val="24"/>
          <w:szCs w:val="24"/>
        </w:rPr>
        <w:t>≥</w:t>
      </w:r>
      <w:r w:rsidRPr="007E7BB7">
        <w:rPr>
          <w:rFonts w:ascii="宋体" w:hAnsi="宋体" w:hint="eastAsia"/>
          <w:sz w:val="24"/>
          <w:szCs w:val="24"/>
        </w:rPr>
        <w:t>8个。</w:t>
      </w:r>
    </w:p>
    <w:p w:rsidR="004B067A" w:rsidRPr="007E7BB7" w:rsidRDefault="004B067A" w:rsidP="004B067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7E7BB7">
        <w:rPr>
          <w:rFonts w:ascii="宋体" w:hAnsi="宋体" w:hint="eastAsia"/>
          <w:sz w:val="24"/>
          <w:szCs w:val="24"/>
        </w:rPr>
        <w:t>支持</w:t>
      </w:r>
      <w:r w:rsidRPr="007E7BB7">
        <w:rPr>
          <w:rFonts w:ascii="宋体" w:hAnsi="宋体"/>
          <w:sz w:val="24"/>
          <w:szCs w:val="24"/>
        </w:rPr>
        <w:t>Windows/Linux下系统</w:t>
      </w:r>
      <w:r w:rsidRPr="007E7BB7">
        <w:rPr>
          <w:rFonts w:ascii="宋体" w:hAnsi="宋体" w:hint="eastAsia"/>
          <w:sz w:val="24"/>
          <w:szCs w:val="24"/>
        </w:rPr>
        <w:t>、</w:t>
      </w:r>
      <w:r w:rsidRPr="007E7BB7">
        <w:rPr>
          <w:rFonts w:ascii="宋体" w:hAnsi="宋体"/>
          <w:sz w:val="24"/>
          <w:szCs w:val="24"/>
        </w:rPr>
        <w:t>文件、文件夹、卷的</w:t>
      </w:r>
      <w:r w:rsidRPr="007E7BB7">
        <w:rPr>
          <w:rFonts w:ascii="宋体" w:hAnsi="宋体" w:hint="eastAsia"/>
          <w:sz w:val="24"/>
          <w:szCs w:val="24"/>
        </w:rPr>
        <w:t>全量</w:t>
      </w:r>
      <w:r w:rsidRPr="007E7BB7">
        <w:rPr>
          <w:rFonts w:ascii="宋体" w:hAnsi="宋体"/>
          <w:sz w:val="24"/>
          <w:szCs w:val="24"/>
        </w:rPr>
        <w:t>备份及增量备份；包含高级参数编制功能，可进行自定义配置</w:t>
      </w:r>
      <w:r w:rsidRPr="007E7BB7">
        <w:rPr>
          <w:rFonts w:ascii="宋体" w:hAnsi="宋体" w:hint="eastAsia"/>
          <w:sz w:val="24"/>
          <w:szCs w:val="24"/>
        </w:rPr>
        <w:t xml:space="preserve">。 </w:t>
      </w:r>
    </w:p>
    <w:p w:rsidR="004B067A" w:rsidRPr="007E7BB7" w:rsidRDefault="004B067A" w:rsidP="004B067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7E7BB7">
        <w:rPr>
          <w:rFonts w:ascii="宋体" w:hAnsi="宋体" w:hint="eastAsia"/>
          <w:sz w:val="24"/>
          <w:szCs w:val="24"/>
        </w:rPr>
        <w:t>支持O</w:t>
      </w:r>
      <w:r w:rsidRPr="007E7BB7">
        <w:rPr>
          <w:rFonts w:ascii="宋体" w:hAnsi="宋体"/>
          <w:sz w:val="24"/>
          <w:szCs w:val="24"/>
        </w:rPr>
        <w:t>racle</w:t>
      </w:r>
      <w:r w:rsidRPr="007E7BB7">
        <w:rPr>
          <w:rFonts w:ascii="宋体" w:hAnsi="宋体" w:hint="eastAsia"/>
          <w:sz w:val="24"/>
          <w:szCs w:val="24"/>
        </w:rPr>
        <w:t>/</w:t>
      </w:r>
      <w:proofErr w:type="spellStart"/>
      <w:r w:rsidRPr="007E7BB7">
        <w:rPr>
          <w:rFonts w:ascii="宋体" w:hAnsi="宋体" w:hint="eastAsia"/>
          <w:sz w:val="24"/>
          <w:szCs w:val="24"/>
        </w:rPr>
        <w:t>S</w:t>
      </w:r>
      <w:r w:rsidRPr="007E7BB7">
        <w:rPr>
          <w:rFonts w:ascii="宋体" w:hAnsi="宋体"/>
          <w:sz w:val="24"/>
          <w:szCs w:val="24"/>
        </w:rPr>
        <w:t>QL</w:t>
      </w:r>
      <w:r w:rsidRPr="007E7BB7">
        <w:rPr>
          <w:rFonts w:ascii="宋体" w:hAnsi="宋体" w:hint="eastAsia"/>
          <w:sz w:val="24"/>
          <w:szCs w:val="24"/>
        </w:rPr>
        <w:t>server</w:t>
      </w:r>
      <w:proofErr w:type="spellEnd"/>
      <w:r w:rsidRPr="007E7BB7">
        <w:rPr>
          <w:rFonts w:ascii="宋体" w:hAnsi="宋体" w:hint="eastAsia"/>
          <w:sz w:val="24"/>
          <w:szCs w:val="24"/>
        </w:rPr>
        <w:t>/</w:t>
      </w:r>
      <w:proofErr w:type="spellStart"/>
      <w:r w:rsidRPr="007E7BB7">
        <w:rPr>
          <w:rFonts w:ascii="宋体" w:hAnsi="宋体" w:hint="eastAsia"/>
          <w:sz w:val="24"/>
          <w:szCs w:val="24"/>
        </w:rPr>
        <w:t>M</w:t>
      </w:r>
      <w:r w:rsidRPr="007E7BB7">
        <w:rPr>
          <w:rFonts w:ascii="宋体" w:hAnsi="宋体"/>
          <w:sz w:val="24"/>
          <w:szCs w:val="24"/>
        </w:rPr>
        <w:t>ysql</w:t>
      </w:r>
      <w:proofErr w:type="spellEnd"/>
      <w:r w:rsidRPr="007E7BB7">
        <w:rPr>
          <w:rFonts w:ascii="宋体" w:hAnsi="宋体" w:hint="eastAsia"/>
          <w:sz w:val="24"/>
          <w:szCs w:val="24"/>
        </w:rPr>
        <w:t>/DB</w:t>
      </w:r>
      <w:r w:rsidRPr="007E7BB7">
        <w:rPr>
          <w:rFonts w:ascii="宋体" w:hAnsi="宋体"/>
          <w:sz w:val="24"/>
          <w:szCs w:val="24"/>
        </w:rPr>
        <w:t>2/</w:t>
      </w:r>
      <w:r w:rsidRPr="007E7BB7">
        <w:rPr>
          <w:rFonts w:ascii="宋体" w:hAnsi="宋体" w:hint="eastAsia"/>
          <w:sz w:val="24"/>
          <w:szCs w:val="24"/>
        </w:rPr>
        <w:t>达梦等国内外主流数据库的全量备份</w:t>
      </w:r>
      <w:r w:rsidRPr="007E7BB7">
        <w:rPr>
          <w:rFonts w:ascii="宋体" w:hAnsi="宋体"/>
          <w:sz w:val="24"/>
          <w:szCs w:val="24"/>
        </w:rPr>
        <w:t>/增量备份/CDP日志备份等方式</w:t>
      </w:r>
      <w:r w:rsidRPr="007E7BB7">
        <w:rPr>
          <w:rFonts w:ascii="宋体" w:hAnsi="宋体" w:hint="eastAsia"/>
          <w:sz w:val="24"/>
          <w:szCs w:val="24"/>
        </w:rPr>
        <w:t>。</w:t>
      </w:r>
    </w:p>
    <w:p w:rsidR="004B067A" w:rsidRPr="007E7BB7" w:rsidRDefault="004B067A" w:rsidP="004B067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7E7BB7">
        <w:rPr>
          <w:rFonts w:ascii="宋体" w:hAnsi="宋体" w:hint="eastAsia"/>
          <w:sz w:val="24"/>
          <w:szCs w:val="24"/>
        </w:rPr>
        <w:t>支持切换接管转化为回切，并一键执行生产端初始化，</w:t>
      </w:r>
      <w:proofErr w:type="gramStart"/>
      <w:r w:rsidRPr="007E7BB7">
        <w:rPr>
          <w:rFonts w:ascii="宋体" w:hAnsi="宋体" w:hint="eastAsia"/>
          <w:sz w:val="24"/>
          <w:szCs w:val="24"/>
        </w:rPr>
        <w:t>将灾备</w:t>
      </w:r>
      <w:proofErr w:type="gramEnd"/>
      <w:r w:rsidRPr="007E7BB7">
        <w:rPr>
          <w:rFonts w:ascii="宋体" w:hAnsi="宋体" w:hint="eastAsia"/>
          <w:sz w:val="24"/>
          <w:szCs w:val="24"/>
        </w:rPr>
        <w:t>服务器在切换接管期间内变化的数据在线反向同步到生产服务器上，</w:t>
      </w:r>
      <w:proofErr w:type="gramStart"/>
      <w:r w:rsidRPr="007E7BB7">
        <w:rPr>
          <w:rFonts w:ascii="宋体" w:hAnsi="宋体" w:hint="eastAsia"/>
          <w:sz w:val="24"/>
          <w:szCs w:val="24"/>
        </w:rPr>
        <w:t>支持回切时</w:t>
      </w:r>
      <w:proofErr w:type="gramEnd"/>
      <w:r w:rsidRPr="007E7BB7">
        <w:rPr>
          <w:rFonts w:ascii="宋体" w:hAnsi="宋体" w:hint="eastAsia"/>
          <w:sz w:val="24"/>
          <w:szCs w:val="24"/>
        </w:rPr>
        <w:t>的业务连续性。</w:t>
      </w:r>
    </w:p>
    <w:p w:rsidR="004B067A" w:rsidRPr="007E7BB7" w:rsidRDefault="004B067A" w:rsidP="004B067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7E7BB7">
        <w:rPr>
          <w:rFonts w:ascii="宋体" w:hAnsi="宋体" w:hint="eastAsia"/>
          <w:sz w:val="24"/>
          <w:szCs w:val="24"/>
        </w:rPr>
        <w:t>支持虚拟机同步状态下同步策略按需修改，包含实时、分钟、小时、天、周等五大同步策略。</w:t>
      </w:r>
    </w:p>
    <w:p w:rsidR="004B067A" w:rsidRPr="007E7BB7" w:rsidRDefault="004B067A" w:rsidP="004B067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7E7BB7">
        <w:rPr>
          <w:rFonts w:ascii="宋体" w:hAnsi="宋体" w:hint="eastAsia"/>
          <w:sz w:val="24"/>
          <w:szCs w:val="24"/>
        </w:rPr>
        <w:lastRenderedPageBreak/>
        <w:t>被系统纳管的虚拟机开关机、修改其主机密码等远程控制功能均可通过WEB管理页面直接进行图形化管理，无须安装任何插件。</w:t>
      </w:r>
    </w:p>
    <w:p w:rsidR="004B067A" w:rsidRPr="007E7BB7" w:rsidRDefault="004B067A" w:rsidP="004B067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7E7BB7">
        <w:rPr>
          <w:rFonts w:ascii="宋体" w:hAnsi="宋体" w:hint="eastAsia"/>
          <w:sz w:val="24"/>
          <w:szCs w:val="24"/>
        </w:rPr>
        <w:t>支持对备份的数据进行基于时间点的全备恢复、全备+增量恢复，以及任意时间点的CDP日志恢复，满足多种情况</w:t>
      </w:r>
      <w:proofErr w:type="gramStart"/>
      <w:r w:rsidRPr="007E7BB7">
        <w:rPr>
          <w:rFonts w:ascii="宋体" w:hAnsi="宋体" w:hint="eastAsia"/>
          <w:sz w:val="24"/>
          <w:szCs w:val="24"/>
        </w:rPr>
        <w:t>下数据</w:t>
      </w:r>
      <w:proofErr w:type="gramEnd"/>
      <w:r w:rsidRPr="007E7BB7">
        <w:rPr>
          <w:rFonts w:ascii="宋体" w:hAnsi="宋体" w:hint="eastAsia"/>
          <w:sz w:val="24"/>
          <w:szCs w:val="24"/>
        </w:rPr>
        <w:t>恢复需求。</w:t>
      </w:r>
    </w:p>
    <w:p w:rsidR="004B067A" w:rsidRPr="007E7BB7" w:rsidRDefault="004B067A" w:rsidP="004B067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7E7BB7">
        <w:rPr>
          <w:rFonts w:ascii="宋体" w:hAnsi="宋体" w:hint="eastAsia"/>
          <w:sz w:val="24"/>
          <w:szCs w:val="24"/>
        </w:rPr>
        <w:t>根据生产环境和备份数据，构建生产模拟环境，定时通过最新备份数据进行恢复演练。演练自动完成，确保备份机制和备份数据的有效性。</w:t>
      </w:r>
    </w:p>
    <w:p w:rsidR="004B067A" w:rsidRPr="007E7BB7" w:rsidRDefault="004B067A" w:rsidP="004B067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7E7BB7">
        <w:rPr>
          <w:rFonts w:ascii="宋体" w:hAnsi="宋体" w:hint="eastAsia"/>
          <w:sz w:val="24"/>
          <w:szCs w:val="24"/>
        </w:rPr>
        <w:t>支持密码输入错误锁定机制、登录验证码验证机制，双重保护防止登录暴力破解</w:t>
      </w:r>
    </w:p>
    <w:p w:rsidR="004B067A" w:rsidRPr="007E7BB7" w:rsidRDefault="004B067A" w:rsidP="004B067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7E7BB7">
        <w:rPr>
          <w:rFonts w:ascii="宋体" w:hAnsi="宋体" w:hint="eastAsia"/>
          <w:sz w:val="24"/>
          <w:szCs w:val="24"/>
        </w:rPr>
        <w:t>提供直观的简体中文图形化WEB操作管理平台，所有软件功能均为模块化功能，可在该平台完成所有的作业管理操作。</w:t>
      </w:r>
    </w:p>
    <w:p w:rsidR="004B067A" w:rsidRPr="007E7BB7" w:rsidRDefault="004B067A" w:rsidP="004B067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7E7BB7">
        <w:rPr>
          <w:rFonts w:ascii="宋体" w:hAnsi="宋体" w:hint="eastAsia"/>
          <w:sz w:val="24"/>
          <w:szCs w:val="24"/>
        </w:rPr>
        <w:t>提供原厂服务</w:t>
      </w:r>
    </w:p>
    <w:p w:rsidR="004B067A" w:rsidRPr="007E7BB7" w:rsidRDefault="004B067A" w:rsidP="004B067A">
      <w:pPr>
        <w:widowControl/>
        <w:spacing w:line="360" w:lineRule="auto"/>
        <w:rPr>
          <w:rFonts w:ascii="宋体" w:hAnsi="宋体"/>
          <w:sz w:val="24"/>
          <w:szCs w:val="24"/>
        </w:rPr>
      </w:pPr>
      <w:r w:rsidRPr="007E7BB7">
        <w:rPr>
          <w:rFonts w:ascii="宋体" w:hAnsi="宋体"/>
          <w:sz w:val="24"/>
          <w:szCs w:val="24"/>
        </w:rPr>
        <w:t>1）硬件软件基础服务——三年硬件质保服务，保内硬件先行；三年软件升级及补丁服务。</w:t>
      </w:r>
    </w:p>
    <w:p w:rsidR="004B067A" w:rsidRPr="007E7BB7" w:rsidRDefault="004B067A" w:rsidP="004B067A">
      <w:pPr>
        <w:widowControl/>
        <w:spacing w:line="360" w:lineRule="auto"/>
        <w:rPr>
          <w:rFonts w:ascii="宋体" w:hAnsi="宋体"/>
          <w:sz w:val="24"/>
          <w:szCs w:val="24"/>
        </w:rPr>
      </w:pPr>
      <w:r w:rsidRPr="007E7BB7">
        <w:rPr>
          <w:rFonts w:ascii="宋体" w:hAnsi="宋体"/>
          <w:sz w:val="24"/>
          <w:szCs w:val="24"/>
        </w:rPr>
        <w:t>2）原厂安装交付服务——</w:t>
      </w:r>
      <w:proofErr w:type="gramStart"/>
      <w:r w:rsidRPr="007E7BB7">
        <w:rPr>
          <w:rFonts w:ascii="宋体" w:hAnsi="宋体"/>
          <w:sz w:val="24"/>
          <w:szCs w:val="24"/>
        </w:rPr>
        <w:t>灾备系统需求</w:t>
      </w:r>
      <w:proofErr w:type="gramEnd"/>
      <w:r w:rsidRPr="007E7BB7">
        <w:rPr>
          <w:rFonts w:ascii="宋体" w:hAnsi="宋体"/>
          <w:sz w:val="24"/>
          <w:szCs w:val="24"/>
        </w:rPr>
        <w:t>调研与分析、规划与部署服务。</w:t>
      </w:r>
    </w:p>
    <w:p w:rsidR="004B067A" w:rsidRPr="007E7BB7" w:rsidRDefault="004B067A" w:rsidP="004B067A">
      <w:pPr>
        <w:spacing w:line="360" w:lineRule="auto"/>
        <w:rPr>
          <w:rFonts w:ascii="宋体" w:hAnsi="宋体" w:cs="宋体"/>
          <w:sz w:val="24"/>
          <w:szCs w:val="24"/>
        </w:rPr>
      </w:pPr>
      <w:r w:rsidRPr="007E7BB7">
        <w:rPr>
          <w:rFonts w:ascii="宋体" w:hAnsi="宋体"/>
          <w:sz w:val="24"/>
          <w:szCs w:val="24"/>
        </w:rPr>
        <w:t>3）高级服务——包括7×24小时热线电话支持；7×24小时网络远程支持；7×24小时邮件支持；7×24小时下一工作日现场支持；备份增改等配置服务；备份数据恢复服务；月度远程巡检服务；一年</w:t>
      </w:r>
      <w:proofErr w:type="gramStart"/>
      <w:r w:rsidRPr="007E7BB7">
        <w:rPr>
          <w:rFonts w:ascii="宋体" w:hAnsi="宋体"/>
          <w:sz w:val="24"/>
          <w:szCs w:val="24"/>
        </w:rPr>
        <w:t>一次灾备演练</w:t>
      </w:r>
      <w:proofErr w:type="gramEnd"/>
      <w:r w:rsidRPr="007E7BB7">
        <w:rPr>
          <w:rFonts w:ascii="宋体" w:hAnsi="宋体"/>
          <w:sz w:val="24"/>
          <w:szCs w:val="24"/>
        </w:rPr>
        <w:t>现场实施和支持服务。</w:t>
      </w:r>
    </w:p>
    <w:p w:rsidR="00C61C20" w:rsidRPr="004B067A" w:rsidRDefault="00C61C20"/>
    <w:sectPr w:rsidR="00C61C20" w:rsidRPr="004B0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BD5" w:rsidRDefault="00F73BD5" w:rsidP="004B067A">
      <w:r>
        <w:separator/>
      </w:r>
    </w:p>
  </w:endnote>
  <w:endnote w:type="continuationSeparator" w:id="0">
    <w:p w:rsidR="00F73BD5" w:rsidRDefault="00F73BD5" w:rsidP="004B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BD5" w:rsidRDefault="00F73BD5" w:rsidP="004B067A">
      <w:r>
        <w:separator/>
      </w:r>
    </w:p>
  </w:footnote>
  <w:footnote w:type="continuationSeparator" w:id="0">
    <w:p w:rsidR="00F73BD5" w:rsidRDefault="00F73BD5" w:rsidP="004B0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853BA"/>
    <w:multiLevelType w:val="multilevel"/>
    <w:tmpl w:val="336853B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C2DB00"/>
    <w:multiLevelType w:val="singleLevel"/>
    <w:tmpl w:val="47C2DB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3E"/>
    <w:rsid w:val="003A063E"/>
    <w:rsid w:val="004B067A"/>
    <w:rsid w:val="00C61C20"/>
    <w:rsid w:val="00F7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7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6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6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7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6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6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2023-02-22T01:57:00Z</dcterms:created>
  <dcterms:modified xsi:type="dcterms:W3CDTF">2023-02-22T01:57:00Z</dcterms:modified>
</cp:coreProperties>
</file>