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0B51A">
      <w:pPr>
        <w:keepNext w:val="0"/>
        <w:keepLines w:val="0"/>
        <w:pageBreakBefore w:val="0"/>
        <w:widowControl w:val="0"/>
        <w:kinsoku/>
        <w:wordWrap/>
        <w:overflowPunct/>
        <w:topLinePunct w:val="0"/>
        <w:bidi w:val="0"/>
        <w:snapToGrid/>
        <w:jc w:val="center"/>
        <w:textAlignment w:val="auto"/>
        <w:rPr>
          <w:rFonts w:hint="eastAsia"/>
          <w:sz w:val="36"/>
          <w:szCs w:val="36"/>
        </w:rPr>
      </w:pPr>
      <w:r>
        <w:rPr>
          <w:rFonts w:hint="eastAsia"/>
          <w:sz w:val="36"/>
          <w:szCs w:val="36"/>
        </w:rPr>
        <w:t>景德镇市第一人民医院GE Optima540 16排CT</w:t>
      </w:r>
      <w:r>
        <w:rPr>
          <w:rFonts w:hint="eastAsia"/>
          <w:sz w:val="36"/>
          <w:szCs w:val="36"/>
          <w:lang w:val="en-US" w:eastAsia="zh-CN"/>
        </w:rPr>
        <w:t>维保服务（技术保）</w:t>
      </w:r>
      <w:r>
        <w:rPr>
          <w:rFonts w:hint="eastAsia"/>
          <w:sz w:val="36"/>
          <w:szCs w:val="36"/>
        </w:rPr>
        <w:t>采购需求</w:t>
      </w:r>
    </w:p>
    <w:p w14:paraId="20A81370">
      <w:pPr>
        <w:keepNext w:val="0"/>
        <w:keepLines w:val="0"/>
        <w:pageBreakBefore w:val="0"/>
        <w:widowControl w:val="0"/>
        <w:kinsoku/>
        <w:wordWrap/>
        <w:overflowPunct/>
        <w:topLinePunct w:val="0"/>
        <w:bidi w:val="0"/>
        <w:snapToGrid/>
        <w:ind w:leftChars="0" w:firstLine="420" w:firstLineChars="200"/>
        <w:textAlignment w:val="auto"/>
        <w:rPr>
          <w:rFonts w:hint="eastAsia" w:ascii="宋体" w:hAnsi="宋体" w:eastAsia="宋体" w:cs="宋体"/>
        </w:rPr>
      </w:pPr>
    </w:p>
    <w:p w14:paraId="3A8BA890">
      <w:pPr>
        <w:keepNext w:val="0"/>
        <w:keepLines w:val="0"/>
        <w:pageBreakBefore w:val="0"/>
        <w:widowControl w:val="0"/>
        <w:kinsoku/>
        <w:wordWrap/>
        <w:overflowPunct/>
        <w:topLinePunct w:val="0"/>
        <w:autoSpaceDE/>
        <w:autoSpaceDN/>
        <w:bidi w:val="0"/>
        <w:adjustRightInd/>
        <w:snapToGrid/>
        <w:spacing w:line="360" w:lineRule="auto"/>
        <w:ind w:leftChars="0" w:firstLine="422" w:firstLineChars="200"/>
        <w:textAlignment w:val="auto"/>
        <w:rPr>
          <w:rFonts w:hint="eastAsia" w:ascii="宋体" w:hAnsi="宋体" w:cs="宋体"/>
          <w:b/>
          <w:bCs/>
          <w:lang w:val="en-US" w:eastAsia="zh-CN"/>
        </w:rPr>
      </w:pPr>
      <w:r>
        <w:rPr>
          <w:rFonts w:hint="eastAsia" w:ascii="宋体" w:hAnsi="宋体" w:eastAsia="宋体" w:cs="宋体"/>
          <w:b/>
          <w:bCs/>
          <w:lang w:eastAsia="zh-CN"/>
        </w:rPr>
        <w:t>一、项目名称：</w:t>
      </w:r>
      <w:r>
        <w:rPr>
          <w:rFonts w:hint="eastAsia" w:ascii="宋体" w:hAnsi="宋体" w:eastAsia="宋体" w:cs="宋体"/>
          <w:b w:val="0"/>
          <w:bCs w:val="0"/>
          <w:lang w:eastAsia="zh-CN"/>
        </w:rPr>
        <w:t>景德镇市第一人民医院GE Optima540 16排CT维保服务采购项目</w:t>
      </w:r>
      <w:r>
        <w:rPr>
          <w:rFonts w:hint="eastAsia" w:ascii="宋体" w:hAnsi="宋体" w:cs="宋体"/>
          <w:b/>
          <w:bCs/>
          <w:lang w:val="en-US" w:eastAsia="zh-CN"/>
        </w:rPr>
        <w:t xml:space="preserve"> </w:t>
      </w:r>
    </w:p>
    <w:p w14:paraId="79455EA8">
      <w:pPr>
        <w:keepNext w:val="0"/>
        <w:keepLines w:val="0"/>
        <w:pageBreakBefore w:val="0"/>
        <w:widowControl w:val="0"/>
        <w:kinsoku/>
        <w:wordWrap/>
        <w:overflowPunct/>
        <w:topLinePunct w:val="0"/>
        <w:autoSpaceDE/>
        <w:autoSpaceDN/>
        <w:bidi w:val="0"/>
        <w:adjustRightInd/>
        <w:snapToGrid/>
        <w:spacing w:line="360" w:lineRule="auto"/>
        <w:ind w:leftChars="0" w:firstLine="422" w:firstLineChars="200"/>
        <w:textAlignment w:val="auto"/>
        <w:rPr>
          <w:rFonts w:hint="eastAsia" w:ascii="宋体" w:hAnsi="宋体" w:eastAsia="宋体" w:cs="宋体"/>
          <w:b/>
          <w:bCs/>
          <w:lang w:eastAsia="zh-CN"/>
        </w:rPr>
      </w:pPr>
      <w:r>
        <w:rPr>
          <w:rFonts w:hint="eastAsia" w:ascii="宋体" w:hAnsi="宋体" w:cs="宋体"/>
          <w:b/>
          <w:bCs/>
          <w:lang w:val="en-US" w:eastAsia="zh-CN"/>
        </w:rPr>
        <w:t>二</w:t>
      </w:r>
      <w:r>
        <w:rPr>
          <w:rFonts w:hint="eastAsia" w:ascii="宋体" w:hAnsi="宋体" w:eastAsia="宋体" w:cs="宋体"/>
          <w:b/>
          <w:bCs/>
          <w:lang w:eastAsia="zh-CN"/>
        </w:rPr>
        <w:t>、项目简介</w:t>
      </w:r>
    </w:p>
    <w:p w14:paraId="559DEA7C">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景德镇市第一人民医院需要采购GE Optima540 16排CT</w:t>
      </w:r>
      <w:r>
        <w:rPr>
          <w:rFonts w:hint="eastAsia" w:ascii="宋体" w:hAnsi="宋体" w:eastAsia="宋体" w:cs="宋体"/>
          <w:b w:val="0"/>
          <w:bCs w:val="0"/>
          <w:lang w:val="en-US" w:eastAsia="zh-CN"/>
        </w:rPr>
        <w:t>技术保修服务一年，</w:t>
      </w:r>
      <w:r>
        <w:rPr>
          <w:rFonts w:hint="eastAsia" w:ascii="宋体" w:hAnsi="宋体" w:eastAsia="宋体" w:cs="宋体"/>
          <w:b w:val="0"/>
          <w:bCs w:val="0"/>
          <w:lang w:eastAsia="zh-CN"/>
        </w:rPr>
        <w:t>保证设备处于最佳运行状态。</w:t>
      </w:r>
    </w:p>
    <w:p w14:paraId="2DF28322">
      <w:pPr>
        <w:keepNext w:val="0"/>
        <w:keepLines w:val="0"/>
        <w:pageBreakBefore w:val="0"/>
        <w:widowControl w:val="0"/>
        <w:kinsoku/>
        <w:wordWrap/>
        <w:overflowPunct/>
        <w:topLinePunct w:val="0"/>
        <w:autoSpaceDE/>
        <w:autoSpaceDN/>
        <w:bidi w:val="0"/>
        <w:adjustRightInd/>
        <w:snapToGrid/>
        <w:spacing w:line="360" w:lineRule="auto"/>
        <w:ind w:leftChars="0" w:firstLine="422" w:firstLineChars="200"/>
        <w:textAlignment w:val="auto"/>
        <w:rPr>
          <w:rFonts w:hint="eastAsia" w:ascii="宋体" w:hAnsi="宋体" w:eastAsia="宋体" w:cs="宋体"/>
          <w:b/>
          <w:bCs/>
          <w:lang w:eastAsia="zh-CN"/>
        </w:rPr>
      </w:pPr>
      <w:r>
        <w:rPr>
          <w:rFonts w:hint="eastAsia" w:ascii="宋体" w:hAnsi="宋体" w:cs="宋体"/>
          <w:b/>
          <w:bCs/>
          <w:lang w:val="en-US" w:eastAsia="zh-CN"/>
        </w:rPr>
        <w:t>三</w:t>
      </w:r>
      <w:r>
        <w:rPr>
          <w:rFonts w:hint="eastAsia" w:ascii="宋体" w:hAnsi="宋体" w:eastAsia="宋体" w:cs="宋体"/>
          <w:b/>
          <w:bCs/>
          <w:lang w:eastAsia="zh-CN"/>
        </w:rPr>
        <w:t>、</w:t>
      </w:r>
      <w:r>
        <w:rPr>
          <w:rFonts w:hint="eastAsia" w:ascii="宋体" w:hAnsi="宋体" w:eastAsia="宋体" w:cs="宋体"/>
          <w:b/>
          <w:bCs/>
        </w:rPr>
        <w:t>技术</w:t>
      </w:r>
      <w:r>
        <w:rPr>
          <w:rFonts w:hint="eastAsia" w:ascii="宋体" w:hAnsi="宋体" w:eastAsia="宋体" w:cs="宋体"/>
          <w:b/>
          <w:bCs/>
          <w:lang w:eastAsia="zh-CN"/>
        </w:rPr>
        <w:t>要求：</w:t>
      </w:r>
    </w:p>
    <w:p w14:paraId="3A99B722">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rPr>
          <w:rFonts w:hint="default" w:ascii="宋体" w:hAnsi="宋体" w:eastAsia="宋体" w:cs="宋体"/>
          <w:lang w:val="en-US" w:eastAsia="zh-CN"/>
        </w:rPr>
      </w:pPr>
      <w:r>
        <w:rPr>
          <w:rFonts w:hint="eastAsia" w:ascii="宋体" w:hAnsi="宋体" w:eastAsia="宋体" w:cs="宋体"/>
        </w:rPr>
        <w:t>1</w:t>
      </w:r>
      <w:r>
        <w:rPr>
          <w:rFonts w:hint="eastAsia" w:ascii="宋体" w:hAnsi="宋体" w:eastAsia="宋体" w:cs="宋体"/>
          <w:lang w:val="en-US" w:eastAsia="zh-CN"/>
        </w:rPr>
        <w:t xml:space="preserve">. </w:t>
      </w:r>
      <w:r>
        <w:rPr>
          <w:rFonts w:hint="eastAsia" w:ascii="宋体" w:hAnsi="宋体" w:eastAsia="宋体" w:cs="宋体"/>
        </w:rPr>
        <w:t>服务内容：</w:t>
      </w:r>
      <w:r>
        <w:rPr>
          <w:rFonts w:hint="eastAsia" w:ascii="宋体" w:hAnsi="宋体" w:eastAsia="宋体" w:cs="宋体"/>
          <w:b w:val="0"/>
          <w:bCs w:val="0"/>
          <w:lang w:eastAsia="zh-CN"/>
        </w:rPr>
        <w:t>GE Optima540 16排CT</w:t>
      </w:r>
      <w:r>
        <w:rPr>
          <w:rFonts w:hint="eastAsia" w:ascii="宋体" w:hAnsi="宋体" w:cs="宋体"/>
          <w:b w:val="0"/>
          <w:bCs w:val="0"/>
          <w:lang w:val="en-US" w:eastAsia="zh-CN"/>
        </w:rPr>
        <w:t>整机技术保服务，括维修工时、安全检查、质量保证、预防性保养（含预防性保养耗材），零配件按需另行采购结算</w:t>
      </w:r>
      <w:r>
        <w:rPr>
          <w:rFonts w:hint="eastAsia" w:ascii="宋体" w:hAnsi="宋体" w:eastAsia="宋体" w:cs="宋体"/>
        </w:rPr>
        <w:t>。</w:t>
      </w:r>
    </w:p>
    <w:p w14:paraId="3451750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定期保养：每年提供4次定期维护。计划性定期的维修服务检测包括机器清洁、性能测试及校准、必要的机械或电气的检查，以及非紧急性质的补救性维修，和确保系统能按照制造商的产品规格运行的维修。此项定期维护服务间隔进行。</w:t>
      </w:r>
    </w:p>
    <w:p w14:paraId="55B411C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在合同期内保证</w:t>
      </w:r>
      <w:r>
        <w:rPr>
          <w:rFonts w:hint="eastAsia" w:ascii="宋体" w:hAnsi="宋体" w:eastAsia="宋体" w:cs="宋体"/>
          <w:lang w:eastAsia="zh-CN"/>
        </w:rPr>
        <w:t>设备</w:t>
      </w:r>
      <w:r>
        <w:rPr>
          <w:rFonts w:hint="eastAsia" w:ascii="宋体" w:hAnsi="宋体" w:eastAsia="宋体" w:cs="宋体"/>
        </w:rPr>
        <w:t>全年开机率在95%以上，若达不到95%开机率，超过日</w:t>
      </w:r>
      <w:r>
        <w:rPr>
          <w:rFonts w:hint="eastAsia" w:ascii="宋体" w:hAnsi="宋体" w:eastAsia="宋体" w:cs="宋体"/>
          <w:spacing w:val="0"/>
          <w:kern w:val="0"/>
          <w:fitText w:val="630" w:id="162336962"/>
        </w:rPr>
        <w:t>期以两</w:t>
      </w:r>
      <w:r>
        <w:rPr>
          <w:rFonts w:hint="eastAsia" w:ascii="宋体" w:hAnsi="宋体" w:eastAsia="宋体" w:cs="宋体"/>
        </w:rPr>
        <w:t>倍时间顺延保修期。</w:t>
      </w:r>
    </w:p>
    <w:p w14:paraId="75EEE37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提供全年 7×24 小时的应急响应服务，在接到</w:t>
      </w:r>
      <w:r>
        <w:rPr>
          <w:rFonts w:hint="eastAsia" w:ascii="宋体" w:hAnsi="宋体" w:eastAsia="宋体" w:cs="宋体"/>
          <w:lang w:eastAsia="zh-CN"/>
        </w:rPr>
        <w:t>采购人</w:t>
      </w:r>
      <w:r>
        <w:rPr>
          <w:rFonts w:hint="eastAsia" w:ascii="宋体" w:hAnsi="宋体" w:eastAsia="宋体" w:cs="宋体"/>
        </w:rPr>
        <w:t>设备故障报告后，派遣工程师2</w:t>
      </w:r>
      <w:r>
        <w:rPr>
          <w:rFonts w:hint="eastAsia" w:ascii="宋体" w:hAnsi="宋体" w:cs="宋体"/>
          <w:lang w:val="en-US" w:eastAsia="zh-CN"/>
        </w:rPr>
        <w:t>4</w:t>
      </w:r>
      <w:r>
        <w:rPr>
          <w:rFonts w:hint="eastAsia" w:ascii="宋体" w:hAnsi="宋体" w:eastAsia="宋体" w:cs="宋体"/>
        </w:rPr>
        <w:t>小时内到达现场进行维修。</w:t>
      </w:r>
    </w:p>
    <w:p w14:paraId="764D301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每年提供不限次数的人工上门维修服务。</w:t>
      </w:r>
    </w:p>
    <w:p w14:paraId="1D7559C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cs="宋体"/>
          <w:lang w:val="en-US" w:eastAsia="zh-CN"/>
        </w:rPr>
        <w:t>维保期间更换零备件费用由甲方承担；若零备件由乙方采购，采购费用应低于市场价的8折。</w:t>
      </w:r>
    </w:p>
    <w:p w14:paraId="6749428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eastAsia="zh-CN"/>
        </w:rPr>
        <w:t>供应商</w:t>
      </w:r>
      <w:r>
        <w:rPr>
          <w:rFonts w:hint="eastAsia" w:ascii="宋体" w:hAnsi="宋体" w:eastAsia="宋体" w:cs="宋体"/>
        </w:rPr>
        <w:t>应按照制造商的产品规格运行的标准来进行保养、维修服务。每年对设备进行维修性校准，检查、设备应通过质量检测部门的检测。</w:t>
      </w:r>
    </w:p>
    <w:p w14:paraId="59C8CF3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提供在线电话支持，协助</w:t>
      </w:r>
      <w:r>
        <w:rPr>
          <w:rFonts w:hint="eastAsia" w:ascii="宋体" w:hAnsi="宋体" w:eastAsia="宋体" w:cs="宋体"/>
          <w:lang w:eastAsia="zh-CN"/>
        </w:rPr>
        <w:t>采购人</w:t>
      </w:r>
      <w:r>
        <w:rPr>
          <w:rFonts w:hint="eastAsia" w:ascii="宋体" w:hAnsi="宋体" w:eastAsia="宋体" w:cs="宋体"/>
        </w:rPr>
        <w:t>工程师分析和维修有关设备。电话支援在</w:t>
      </w:r>
      <w:r>
        <w:rPr>
          <w:rFonts w:hint="eastAsia" w:ascii="宋体" w:hAnsi="宋体" w:eastAsia="宋体" w:cs="宋体"/>
          <w:lang w:eastAsia="zh-CN"/>
        </w:rPr>
        <w:t>采购人</w:t>
      </w:r>
      <w:r>
        <w:rPr>
          <w:rFonts w:hint="eastAsia" w:ascii="宋体" w:hAnsi="宋体" w:eastAsia="宋体" w:cs="宋体"/>
        </w:rPr>
        <w:t>拨打维修后提供，</w:t>
      </w:r>
      <w:r>
        <w:rPr>
          <w:rFonts w:hint="eastAsia" w:ascii="宋体" w:hAnsi="宋体" w:eastAsia="宋体" w:cs="宋体"/>
          <w:lang w:eastAsia="zh-CN"/>
        </w:rPr>
        <w:t>供应商</w:t>
      </w:r>
      <w:r>
        <w:rPr>
          <w:rFonts w:hint="eastAsia" w:ascii="宋体" w:hAnsi="宋体" w:eastAsia="宋体" w:cs="宋体"/>
        </w:rPr>
        <w:t>工程师在线技术支持，答疑；</w:t>
      </w:r>
      <w:r>
        <w:rPr>
          <w:rFonts w:hint="eastAsia" w:ascii="宋体" w:hAnsi="宋体" w:eastAsia="宋体" w:cs="宋体"/>
          <w:lang w:eastAsia="zh-CN"/>
        </w:rPr>
        <w:t>供应商</w:t>
      </w:r>
      <w:r>
        <w:rPr>
          <w:rFonts w:hint="eastAsia" w:ascii="宋体" w:hAnsi="宋体" w:eastAsia="宋体" w:cs="宋体"/>
        </w:rPr>
        <w:t>工程师即时诊断机器故障，制定维修方案。</w:t>
      </w:r>
    </w:p>
    <w:p w14:paraId="6CF3989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lang w:eastAsia="zh-CN"/>
        </w:rPr>
        <w:t>每年对我院工程师进行</w:t>
      </w:r>
      <w:r>
        <w:rPr>
          <w:rFonts w:hint="eastAsia" w:ascii="宋体" w:hAnsi="宋体" w:cs="宋体"/>
          <w:lang w:val="en-US" w:eastAsia="zh-CN"/>
        </w:rPr>
        <w:t>16排CT</w:t>
      </w:r>
      <w:r>
        <w:rPr>
          <w:rFonts w:hint="eastAsia" w:ascii="宋体" w:hAnsi="宋体" w:eastAsia="宋体" w:cs="宋体"/>
          <w:lang w:val="en-US" w:eastAsia="zh-CN"/>
        </w:rPr>
        <w:t>操作和维护保养方面的培训。</w:t>
      </w:r>
    </w:p>
    <w:p w14:paraId="7E7AF29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eastAsia="宋体" w:cs="宋体"/>
        </w:rPr>
        <w:t>服务期内，若发生零部件故障，维修时提供的更换的配件可索源。每次更换重大备件后提供质量保证检测报告(如PA报告等)，保障不会对设备质量或图像产生不良影响。如因提供不合法不合规或来路不明的备件而引起的相关损失及法律责任由</w:t>
      </w:r>
      <w:r>
        <w:rPr>
          <w:rFonts w:hint="eastAsia" w:ascii="宋体" w:hAnsi="宋体" w:eastAsia="宋体" w:cs="宋体"/>
          <w:lang w:eastAsia="zh-CN"/>
        </w:rPr>
        <w:t>供应商</w:t>
      </w:r>
      <w:r>
        <w:rPr>
          <w:rFonts w:hint="eastAsia" w:ascii="宋体" w:hAnsi="宋体" w:eastAsia="宋体" w:cs="宋体"/>
        </w:rPr>
        <w:t>自行承担。</w:t>
      </w:r>
    </w:p>
    <w:p w14:paraId="6633AC8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rPr>
      </w:pPr>
      <w:r>
        <w:rPr>
          <w:rFonts w:hint="eastAsia" w:ascii="宋体" w:hAnsi="宋体" w:cs="宋体"/>
          <w:lang w:val="en-US" w:eastAsia="zh-CN"/>
        </w:rPr>
        <w:t>人员要求：维保工程师需具备相应的专业技术能力</w:t>
      </w:r>
      <w:bookmarkStart w:id="0" w:name="_GoBack"/>
      <w:bookmarkEnd w:id="0"/>
      <w:r>
        <w:rPr>
          <w:rFonts w:hint="eastAsia" w:ascii="宋体" w:hAnsi="宋体" w:cs="宋体"/>
          <w:lang w:val="en-US" w:eastAsia="zh-CN"/>
        </w:rPr>
        <w:t>。</w:t>
      </w:r>
    </w:p>
    <w:p w14:paraId="374E0E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textAlignment w:val="auto"/>
        <w:rPr>
          <w:rFonts w:hint="eastAsia"/>
          <w:b/>
          <w:bCs/>
          <w:lang w:eastAsia="zh-CN"/>
        </w:rPr>
      </w:pPr>
      <w:r>
        <w:rPr>
          <w:rFonts w:hint="eastAsia"/>
          <w:b/>
          <w:bCs/>
          <w:kern w:val="2"/>
          <w:sz w:val="21"/>
          <w:szCs w:val="24"/>
          <w:lang w:val="en-US" w:eastAsia="zh-CN" w:bidi="ar-SA"/>
        </w:rPr>
        <w:t>四、</w:t>
      </w:r>
      <w:r>
        <w:rPr>
          <w:rFonts w:hint="eastAsia"/>
          <w:b/>
          <w:bCs/>
          <w:lang w:eastAsia="zh-CN"/>
        </w:rPr>
        <w:t>其他条款：</w:t>
      </w:r>
    </w:p>
    <w:p w14:paraId="7C2A16C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rPr>
      </w:pPr>
      <w:r>
        <w:rPr>
          <w:rFonts w:hint="eastAsia" w:ascii="宋体" w:hAnsi="宋体" w:eastAsia="宋体" w:cs="宋体"/>
          <w:lang w:eastAsia="zh-CN"/>
        </w:rPr>
        <w:t>服务期限：自合同签订之日起一年。</w:t>
      </w:r>
    </w:p>
    <w:p w14:paraId="0669AC8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rPr>
      </w:pPr>
      <w:r>
        <w:rPr>
          <w:rFonts w:hint="eastAsia" w:ascii="宋体" w:hAnsi="宋体" w:eastAsia="宋体" w:cs="宋体"/>
        </w:rPr>
        <w:t>服务地点：采购单位指定地点。</w:t>
      </w:r>
    </w:p>
    <w:p w14:paraId="79326EB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rPr>
      </w:pPr>
      <w:r>
        <w:rPr>
          <w:rFonts w:hint="eastAsia" w:ascii="宋体" w:hAnsi="宋体" w:eastAsia="宋体" w:cs="宋体"/>
        </w:rPr>
        <w:t>付款方式：服务款项分4次支付，每季度支付一次。具体支付时间为每季度结束后的七个工作日内。每次支付合同价的 25%</w:t>
      </w:r>
      <w:r>
        <w:rPr>
          <w:rFonts w:hint="eastAsia" w:ascii="宋体" w:hAnsi="宋体" w:eastAsia="宋体" w:cs="宋体"/>
          <w:lang w:eastAsia="zh-CN"/>
        </w:rPr>
        <w:t>。</w:t>
      </w:r>
    </w:p>
    <w:p w14:paraId="60FAE22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rPr>
      </w:pPr>
      <w:r>
        <w:rPr>
          <w:rFonts w:hint="eastAsia" w:ascii="宋体" w:hAnsi="宋体" w:eastAsia="宋体" w:cs="宋体"/>
        </w:rPr>
        <w:t>为保障项目的质量，以及杜绝恶性竞价和竞争，对报价低于合格投标人报价的平均价格的95%的供应商，必须在上传</w:t>
      </w:r>
      <w:r>
        <w:rPr>
          <w:rFonts w:hint="eastAsia" w:ascii="宋体" w:hAnsi="宋体" w:eastAsia="宋体" w:cs="宋体"/>
          <w:lang w:eastAsia="zh-CN"/>
        </w:rPr>
        <w:t>响应</w:t>
      </w:r>
      <w:r>
        <w:rPr>
          <w:rFonts w:hint="eastAsia" w:ascii="宋体" w:hAnsi="宋体" w:eastAsia="宋体" w:cs="宋体"/>
        </w:rPr>
        <w:t>文件时</w:t>
      </w:r>
      <w:r>
        <w:rPr>
          <w:rFonts w:hint="eastAsia" w:ascii="宋体" w:hAnsi="宋体" w:eastAsia="宋体" w:cs="宋体"/>
          <w:spacing w:val="0"/>
          <w:kern w:val="0"/>
          <w:fitText w:val="420" w:id="1003705502"/>
        </w:rPr>
        <w:t>同时</w:t>
      </w:r>
      <w:r>
        <w:rPr>
          <w:rFonts w:hint="eastAsia" w:ascii="宋体" w:hAnsi="宋体" w:eastAsia="宋体" w:cs="宋体"/>
        </w:rPr>
        <w:t>提交能证明企业低于成本价的说明材料，如涉及到其他材料供应商，需加盖供应商公章，如</w:t>
      </w:r>
      <w:r>
        <w:rPr>
          <w:rFonts w:hint="eastAsia" w:ascii="宋体" w:hAnsi="宋体" w:cs="宋体"/>
          <w:lang w:val="en-US" w:eastAsia="zh-CN"/>
        </w:rPr>
        <w:t>报价</w:t>
      </w:r>
      <w:r>
        <w:rPr>
          <w:rFonts w:hint="eastAsia" w:ascii="宋体" w:hAnsi="宋体" w:eastAsia="宋体" w:cs="宋体"/>
        </w:rPr>
        <w:t>方未提供，视为自动放弃资格。</w:t>
      </w:r>
    </w:p>
    <w:p w14:paraId="767CCCE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rPr>
      </w:pPr>
      <w:r>
        <w:rPr>
          <w:rFonts w:hint="eastAsia" w:ascii="宋体" w:hAnsi="宋体" w:cs="宋体"/>
          <w:lang w:val="en-US" w:eastAsia="zh-CN"/>
        </w:rPr>
        <w:t>报价</w:t>
      </w:r>
      <w:r>
        <w:rPr>
          <w:rFonts w:hint="eastAsia" w:ascii="宋体" w:hAnsi="宋体" w:eastAsia="宋体" w:cs="宋体"/>
        </w:rPr>
        <w:t>人</w:t>
      </w:r>
      <w:r>
        <w:rPr>
          <w:rFonts w:hint="eastAsia" w:ascii="宋体" w:hAnsi="宋体" w:eastAsia="宋体" w:cs="宋体"/>
          <w:lang w:eastAsia="zh-CN"/>
        </w:rPr>
        <w:t>需</w:t>
      </w:r>
      <w:r>
        <w:rPr>
          <w:rFonts w:hint="eastAsia" w:ascii="宋体" w:hAnsi="宋体" w:eastAsia="宋体" w:cs="宋体"/>
        </w:rPr>
        <w:t>提供营业执照及医疗器械经营许可证</w:t>
      </w:r>
      <w:r>
        <w:rPr>
          <w:rFonts w:hint="eastAsia" w:ascii="宋体" w:hAnsi="宋体" w:eastAsia="宋体" w:cs="宋体"/>
          <w:lang w:eastAsia="zh-CN"/>
        </w:rPr>
        <w:t>。</w:t>
      </w:r>
    </w:p>
    <w:p w14:paraId="089874B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rPr>
      </w:pPr>
      <w:r>
        <w:rPr>
          <w:rFonts w:hint="eastAsia" w:ascii="宋体" w:hAnsi="宋体" w:eastAsia="宋体" w:cs="宋体"/>
        </w:rPr>
        <w:t>供应商竞价时须上传需求中所要求的所有响应文件，采购人对响应文件进行审查，如发现上传</w:t>
      </w:r>
      <w:r>
        <w:rPr>
          <w:rFonts w:hint="eastAsia" w:ascii="宋体" w:hAnsi="宋体" w:eastAsia="宋体" w:cs="宋体"/>
          <w:spacing w:val="0"/>
          <w:kern w:val="0"/>
          <w:fitText w:val="420" w:id="508037236"/>
        </w:rPr>
        <w:t>的响</w:t>
      </w:r>
      <w:r>
        <w:rPr>
          <w:rFonts w:hint="eastAsia" w:ascii="宋体" w:hAnsi="宋体" w:eastAsia="宋体" w:cs="宋体"/>
        </w:rPr>
        <w:t>应文件中有缺失</w:t>
      </w:r>
      <w:r>
        <w:rPr>
          <w:rFonts w:hint="eastAsia" w:ascii="宋体" w:hAnsi="宋体" w:eastAsia="宋体" w:cs="宋体"/>
          <w:lang w:eastAsia="zh-CN"/>
        </w:rPr>
        <w:t>或不满足要求</w:t>
      </w:r>
      <w:r>
        <w:rPr>
          <w:rFonts w:hint="eastAsia" w:ascii="宋体" w:hAnsi="宋体" w:eastAsia="宋体" w:cs="宋体"/>
        </w:rPr>
        <w:t>，即视为未响应招标人实质性要求，予以废标处理。</w:t>
      </w:r>
    </w:p>
    <w:p w14:paraId="659C19E8">
      <w:pPr>
        <w:pStyle w:val="4"/>
        <w:keepNext w:val="0"/>
        <w:keepLines w:val="0"/>
        <w:pageBreakBefore w:val="0"/>
        <w:widowControl w:val="0"/>
        <w:kinsoku/>
        <w:wordWrap/>
        <w:overflowPunct/>
        <w:topLinePunct w:val="0"/>
        <w:bidi w:val="0"/>
        <w:snapToGrid/>
        <w:spacing w:line="360" w:lineRule="auto"/>
        <w:ind w:leftChars="0" w:firstLine="482" w:firstLineChars="200"/>
        <w:textAlignment w:val="auto"/>
        <w:rPr>
          <w:rFonts w:hint="eastAsia"/>
          <w:b/>
          <w:bCs/>
          <w:lang w:eastAsia="zh-CN"/>
        </w:rPr>
      </w:pPr>
      <w:r>
        <w:rPr>
          <w:rFonts w:hint="eastAsia"/>
          <w:b/>
          <w:bCs/>
          <w:lang w:eastAsia="zh-CN"/>
        </w:rPr>
        <w:t>资料上传：</w:t>
      </w:r>
    </w:p>
    <w:p w14:paraId="72120BC6">
      <w:pPr>
        <w:pStyle w:val="4"/>
        <w:keepNext w:val="0"/>
        <w:keepLines w:val="0"/>
        <w:pageBreakBefore w:val="0"/>
        <w:widowControl w:val="0"/>
        <w:numPr>
          <w:ilvl w:val="0"/>
          <w:numId w:val="3"/>
        </w:numPr>
        <w:kinsoku/>
        <w:wordWrap/>
        <w:overflowPunct/>
        <w:topLinePunct w:val="0"/>
        <w:bidi w:val="0"/>
        <w:snapToGrid/>
        <w:spacing w:line="360" w:lineRule="auto"/>
        <w:ind w:leftChars="0"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营业执照</w:t>
      </w:r>
      <w:r>
        <w:rPr>
          <w:rFonts w:hint="eastAsia" w:hAnsi="宋体" w:cs="宋体"/>
          <w:color w:val="auto"/>
          <w:kern w:val="2"/>
          <w:sz w:val="21"/>
          <w:szCs w:val="24"/>
          <w:lang w:val="en-US" w:eastAsia="zh-CN" w:bidi="ar-SA"/>
        </w:rPr>
        <w:t>、医疗器械经营许可证</w:t>
      </w:r>
      <w:r>
        <w:rPr>
          <w:rFonts w:hint="eastAsia" w:ascii="宋体" w:hAnsi="宋体" w:eastAsia="宋体" w:cs="宋体"/>
          <w:color w:val="auto"/>
          <w:kern w:val="2"/>
          <w:sz w:val="21"/>
          <w:szCs w:val="24"/>
          <w:lang w:val="en-US" w:eastAsia="zh-CN" w:bidi="ar-SA"/>
        </w:rPr>
        <w:t>及法定代表人身份证正反面复印件加盖供应商公章</w:t>
      </w:r>
    </w:p>
    <w:p w14:paraId="68A3686F">
      <w:pPr>
        <w:pStyle w:val="4"/>
        <w:keepNext w:val="0"/>
        <w:keepLines w:val="0"/>
        <w:pageBreakBefore w:val="0"/>
        <w:widowControl w:val="0"/>
        <w:numPr>
          <w:ilvl w:val="0"/>
          <w:numId w:val="3"/>
        </w:numPr>
        <w:kinsoku/>
        <w:wordWrap/>
        <w:overflowPunct/>
        <w:topLinePunct w:val="0"/>
        <w:bidi w:val="0"/>
        <w:snapToGrid/>
        <w:spacing w:line="360" w:lineRule="auto"/>
        <w:ind w:leftChars="0" w:firstLine="420" w:firstLineChars="200"/>
        <w:textAlignment w:val="auto"/>
        <w:rPr>
          <w:rFonts w:hint="eastAsia" w:ascii="宋体" w:hAnsi="宋体" w:eastAsia="宋体" w:cs="宋体"/>
          <w:color w:val="auto"/>
          <w:kern w:val="2"/>
          <w:sz w:val="21"/>
          <w:szCs w:val="24"/>
          <w:lang w:val="en-US" w:eastAsia="zh-CN" w:bidi="ar-SA"/>
        </w:rPr>
      </w:pPr>
      <w:r>
        <w:rPr>
          <w:rFonts w:hint="eastAsia" w:hAnsi="宋体" w:cs="宋体"/>
          <w:color w:val="auto"/>
          <w:kern w:val="2"/>
          <w:sz w:val="21"/>
          <w:szCs w:val="24"/>
          <w:lang w:val="en-US" w:eastAsia="zh-CN" w:bidi="ar-SA"/>
        </w:rPr>
        <w:t>报价表（自拟）</w:t>
      </w:r>
    </w:p>
    <w:p w14:paraId="172757A2">
      <w:pPr>
        <w:pStyle w:val="4"/>
        <w:keepNext w:val="0"/>
        <w:keepLines w:val="0"/>
        <w:pageBreakBefore w:val="0"/>
        <w:widowControl w:val="0"/>
        <w:numPr>
          <w:ilvl w:val="0"/>
          <w:numId w:val="3"/>
        </w:numPr>
        <w:kinsoku/>
        <w:wordWrap/>
        <w:overflowPunct/>
        <w:topLinePunct w:val="0"/>
        <w:bidi w:val="0"/>
        <w:snapToGrid/>
        <w:spacing w:line="360" w:lineRule="auto"/>
        <w:ind w:leftChars="0" w:firstLine="420" w:firstLineChars="200"/>
        <w:textAlignment w:val="auto"/>
        <w:rPr>
          <w:rFonts w:hint="eastAsia" w:ascii="宋体" w:hAnsi="宋体" w:eastAsia="宋体" w:cs="宋体"/>
          <w:color w:val="auto"/>
          <w:kern w:val="2"/>
          <w:sz w:val="21"/>
          <w:szCs w:val="24"/>
          <w:lang w:val="en-US" w:eastAsia="zh-CN" w:bidi="ar-SA"/>
        </w:rPr>
      </w:pPr>
      <w:r>
        <w:rPr>
          <w:rFonts w:hint="eastAsia" w:hAnsi="宋体" w:cs="宋体"/>
          <w:color w:val="auto"/>
          <w:kern w:val="2"/>
          <w:sz w:val="21"/>
          <w:szCs w:val="24"/>
          <w:lang w:val="en-US" w:eastAsia="zh-CN" w:bidi="ar-SA"/>
        </w:rPr>
        <w:t>响应偏离表（自拟）</w:t>
      </w:r>
    </w:p>
    <w:p w14:paraId="5B8E791A">
      <w:pPr>
        <w:pStyle w:val="4"/>
        <w:keepNext w:val="0"/>
        <w:keepLines w:val="0"/>
        <w:pageBreakBefore w:val="0"/>
        <w:widowControl w:val="0"/>
        <w:numPr>
          <w:ilvl w:val="0"/>
          <w:numId w:val="0"/>
        </w:numPr>
        <w:kinsoku/>
        <w:wordWrap/>
        <w:overflowPunct/>
        <w:topLinePunct w:val="0"/>
        <w:bidi w:val="0"/>
        <w:snapToGrid/>
        <w:ind w:leftChars="0" w:firstLine="420" w:firstLineChars="200"/>
        <w:textAlignment w:val="auto"/>
        <w:rPr>
          <w:rFonts w:hint="default" w:ascii="宋体" w:hAnsi="宋体" w:eastAsia="宋体" w:cs="宋体"/>
          <w:color w:val="auto"/>
          <w:kern w:val="2"/>
          <w:sz w:val="21"/>
          <w:szCs w:val="24"/>
          <w:lang w:val="en-US" w:eastAsia="zh-CN" w:bidi="ar-SA"/>
        </w:rPr>
      </w:pPr>
    </w:p>
    <w:p w14:paraId="5606174B">
      <w:pPr>
        <w:pStyle w:val="4"/>
        <w:keepNext w:val="0"/>
        <w:keepLines w:val="0"/>
        <w:pageBreakBefore w:val="0"/>
        <w:widowControl w:val="0"/>
        <w:numPr>
          <w:ilvl w:val="0"/>
          <w:numId w:val="0"/>
        </w:numPr>
        <w:kinsoku/>
        <w:wordWrap/>
        <w:overflowPunct/>
        <w:topLinePunct w:val="0"/>
        <w:bidi w:val="0"/>
        <w:snapToGrid/>
        <w:ind w:leftChars="0" w:firstLine="420" w:firstLineChars="200"/>
        <w:textAlignment w:val="auto"/>
        <w:rPr>
          <w:rFonts w:hint="default" w:ascii="宋体" w:hAnsi="宋体" w:eastAsia="宋体" w:cs="宋体"/>
          <w:color w:val="auto"/>
          <w:kern w:val="2"/>
          <w:sz w:val="21"/>
          <w:szCs w:val="24"/>
          <w:lang w:val="en-US" w:eastAsia="zh-CN" w:bidi="ar-SA"/>
        </w:rPr>
      </w:pPr>
    </w:p>
    <w:p w14:paraId="16B501B8">
      <w:pPr>
        <w:keepNext w:val="0"/>
        <w:keepLines w:val="0"/>
        <w:pageBreakBefore w:val="0"/>
        <w:widowControl w:val="0"/>
        <w:kinsoku/>
        <w:wordWrap/>
        <w:overflowPunct/>
        <w:topLinePunct w:val="0"/>
        <w:bidi w:val="0"/>
        <w:snapToGrid/>
        <w:spacing w:line="360" w:lineRule="auto"/>
        <w:ind w:leftChars="0" w:firstLine="480" w:firstLineChars="200"/>
        <w:textAlignment w:val="auto"/>
        <w:rPr>
          <w:rFonts w:hint="eastAsia" w:ascii="宋体" w:hAnsi="宋体" w:eastAsia="宋体" w:cs="宋体"/>
          <w:b w:val="0"/>
          <w:bCs w:val="0"/>
          <w:color w:val="000000"/>
          <w:sz w:val="24"/>
          <w:szCs w:val="24"/>
          <w:lang w:val="en-US" w:eastAsia="zh-CN"/>
        </w:rPr>
      </w:pPr>
    </w:p>
    <w:p w14:paraId="6DCBB9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eastAsia="宋体"/>
          <w:lang w:val="en-US" w:eastAsia="zh-CN"/>
        </w:rPr>
      </w:pPr>
    </w:p>
    <w:p w14:paraId="79951769">
      <w:pPr>
        <w:keepNext w:val="0"/>
        <w:keepLines w:val="0"/>
        <w:pageBreakBefore w:val="0"/>
        <w:widowControl w:val="0"/>
        <w:kinsoku/>
        <w:wordWrap/>
        <w:overflowPunct/>
        <w:topLinePunct w:val="0"/>
        <w:bidi w:val="0"/>
        <w:snapToGrid/>
        <w:ind w:leftChars="0" w:firstLine="420" w:firstLineChars="200"/>
        <w:textAlignment w:val="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D7A909"/>
    <w:multiLevelType w:val="singleLevel"/>
    <w:tmpl w:val="ADD7A909"/>
    <w:lvl w:ilvl="0" w:tentative="0">
      <w:start w:val="1"/>
      <w:numFmt w:val="decimal"/>
      <w:suff w:val="space"/>
      <w:lvlText w:val="%1."/>
      <w:lvlJc w:val="left"/>
      <w:rPr>
        <w:rFonts w:hint="default" w:ascii="宋体" w:hAnsi="宋体" w:eastAsia="宋体" w:cs="宋体"/>
      </w:rPr>
    </w:lvl>
  </w:abstractNum>
  <w:abstractNum w:abstractNumId="1">
    <w:nsid w:val="3EEA76C0"/>
    <w:multiLevelType w:val="singleLevel"/>
    <w:tmpl w:val="3EEA76C0"/>
    <w:lvl w:ilvl="0" w:tentative="0">
      <w:start w:val="2"/>
      <w:numFmt w:val="decimal"/>
      <w:suff w:val="space"/>
      <w:lvlText w:val="%1."/>
      <w:lvlJc w:val="left"/>
    </w:lvl>
  </w:abstractNum>
  <w:abstractNum w:abstractNumId="2">
    <w:nsid w:val="44EADD64"/>
    <w:multiLevelType w:val="singleLevel"/>
    <w:tmpl w:val="44EADD64"/>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196A86"/>
    <w:rsid w:val="18196A86"/>
    <w:rsid w:val="1D543A68"/>
    <w:rsid w:val="648604FA"/>
    <w:rsid w:val="7FBB0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2025-02-26T02:31:00Z</dcterms:created>
  <dc:creator>晚兮兮</dc:creator>
  <cp:lastModifiedBy>晚兮兮</cp:lastModifiedBy>
  <dcterms:modified xsi:type="dcterms:W3CDTF">2025-02-26T03:05:23Z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757F151DAE204F75AB88E4E879A51AF2_11</vt:lpwstr>
  </property>
  <property fmtid="{D5CDD505-2E9C-101B-9397-08002B2CF9AE}" pid="4" name="KSOTemplateDocerSaveRecord">
    <vt:lpwstr>eyJoZGlkIjoiM2I2NTYwYzViNTEzZjlmZjk2NWU1NGM1YTkxN2FjNmUiLCJ1c2VySWQiOiIzMjk2MTExNTAifQ==</vt:lpwstr>
  </property>
</Properties>
</file>